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96" w:rsidRPr="008678B7" w:rsidRDefault="00025496" w:rsidP="00025496">
      <w:pPr>
        <w:pStyle w:val="NoSpacing"/>
        <w:jc w:val="center"/>
        <w:rPr>
          <w:b/>
          <w:kern w:val="36"/>
          <w:u w:val="single"/>
        </w:rPr>
      </w:pPr>
      <w:r w:rsidRPr="008678B7">
        <w:rPr>
          <w:b/>
          <w:kern w:val="36"/>
          <w:u w:val="single"/>
        </w:rPr>
        <w:t>Employee or Subcontractor?</w:t>
      </w:r>
    </w:p>
    <w:p w:rsidR="00025496" w:rsidRDefault="00025496" w:rsidP="00025496">
      <w:pPr>
        <w:pStyle w:val="NoSpacing"/>
        <w:jc w:val="center"/>
        <w:rPr>
          <w:kern w:val="36"/>
        </w:rPr>
      </w:pPr>
    </w:p>
    <w:p w:rsidR="004530E3" w:rsidRPr="008678B7" w:rsidRDefault="004530E3" w:rsidP="00025496">
      <w:pPr>
        <w:pStyle w:val="NoSpacing"/>
        <w:rPr>
          <w:b/>
          <w:kern w:val="36"/>
        </w:rPr>
      </w:pPr>
      <w:r w:rsidRPr="008678B7">
        <w:rPr>
          <w:b/>
          <w:kern w:val="36"/>
        </w:rPr>
        <w:t xml:space="preserve">As business owners, dealers should understand the differences between an employee and an independent contractor.  Even in situations where employer and "hired personnel" agree that the relationship will be considered not as employer-employee but instead as an independent contractor, many factors come into play in determining the actual status of those "hired personnel".  </w:t>
      </w:r>
    </w:p>
    <w:p w:rsidR="004530E3" w:rsidRPr="008678B7" w:rsidRDefault="004530E3" w:rsidP="00025496">
      <w:pPr>
        <w:pStyle w:val="NoSpacing"/>
        <w:rPr>
          <w:b/>
          <w:kern w:val="36"/>
        </w:rPr>
      </w:pPr>
    </w:p>
    <w:p w:rsidR="00025496" w:rsidRPr="00ED00F6" w:rsidRDefault="004530E3" w:rsidP="00ED00F6">
      <w:pPr>
        <w:pStyle w:val="NoSpacing"/>
        <w:rPr>
          <w:b/>
          <w:kern w:val="36"/>
        </w:rPr>
      </w:pPr>
      <w:r w:rsidRPr="008678B7">
        <w:rPr>
          <w:b/>
          <w:kern w:val="36"/>
        </w:rPr>
        <w:t xml:space="preserve">The following Checklist will help sort out some of the misconceptions and help keep employers out of trouble.  </w:t>
      </w:r>
      <w:r w:rsidR="00ED00F6">
        <w:rPr>
          <w:b/>
          <w:kern w:val="36"/>
        </w:rPr>
        <w:t>L</w:t>
      </w:r>
      <w:r w:rsidR="008678B7" w:rsidRPr="008678B7">
        <w:rPr>
          <w:b/>
          <w:kern w:val="36"/>
        </w:rPr>
        <w:t xml:space="preserve">ook over this Checklist to see if your "hired personnel" are truly independent contractors or if they should be treated as employees.  </w:t>
      </w:r>
      <w:r w:rsidRPr="008678B7">
        <w:rPr>
          <w:b/>
          <w:kern w:val="36"/>
        </w:rPr>
        <w:t xml:space="preserve">  </w:t>
      </w:r>
      <w:r w:rsidR="00025496" w:rsidRPr="008678B7">
        <w:rPr>
          <w:b/>
          <w:kern w:val="36"/>
        </w:rPr>
        <w:t xml:space="preserve"> </w:t>
      </w:r>
    </w:p>
    <w:p w:rsidR="007E1C23" w:rsidRPr="007E1C23" w:rsidRDefault="007E1C23" w:rsidP="007E1C23">
      <w:pPr>
        <w:spacing w:before="240" w:after="240" w:line="240" w:lineRule="auto"/>
        <w:outlineLvl w:val="0"/>
        <w:rPr>
          <w:rFonts w:ascii="Lucida Sans Unicode" w:eastAsia="Times New Roman" w:hAnsi="Lucida Sans Unicode" w:cs="Lucida Sans Unicode"/>
          <w:b/>
          <w:bCs/>
          <w:color w:val="333333"/>
          <w:kern w:val="36"/>
          <w:sz w:val="28"/>
          <w:szCs w:val="28"/>
        </w:rPr>
      </w:pPr>
      <w:r w:rsidRPr="007E1C23">
        <w:rPr>
          <w:rFonts w:ascii="Lucida Sans Unicode" w:eastAsia="Times New Roman" w:hAnsi="Lucida Sans Unicode" w:cs="Lucida Sans Unicode"/>
          <w:b/>
          <w:bCs/>
          <w:color w:val="333333"/>
          <w:kern w:val="36"/>
          <w:sz w:val="28"/>
          <w:szCs w:val="28"/>
        </w:rPr>
        <w:t>Twenty Factor Checklist to Determine Independent Contractor vs. Employee Status</w:t>
      </w:r>
    </w:p>
    <w:p w:rsidR="007E1C23" w:rsidRPr="007E1C23" w:rsidRDefault="009207A5" w:rsidP="007E1C23">
      <w:pPr>
        <w:spacing w:before="240" w:line="240" w:lineRule="auto"/>
        <w:rPr>
          <w:rFonts w:ascii="Lucida Sans Unicode" w:eastAsia="Times New Roman" w:hAnsi="Lucida Sans Unicode" w:cs="Lucida Sans Unicode"/>
          <w:color w:val="333333"/>
          <w:sz w:val="20"/>
          <w:szCs w:val="20"/>
        </w:rPr>
      </w:pPr>
      <w:r w:rsidRPr="009207A5">
        <w:rPr>
          <w:rFonts w:ascii="Lucida Sans Unicode" w:eastAsia="Times New Roman" w:hAnsi="Lucida Sans Unicode" w:cs="Lucida Sans Unicode"/>
          <w:color w:val="333333"/>
          <w:sz w:val="20"/>
          <w:szCs w:val="20"/>
        </w:rPr>
        <w:pict>
          <v:rect id="_x0000_i1025" style="width:710pt;height:1pt" o:hrpct="0" o:hralign="center" o:hrstd="t" o:hr="t" fillcolor="#a0a0a0" stroked="f"/>
        </w:pict>
      </w:r>
    </w:p>
    <w:tbl>
      <w:tblPr>
        <w:tblW w:w="5000" w:type="pct"/>
        <w:tblCellMar>
          <w:top w:w="105" w:type="dxa"/>
          <w:left w:w="105" w:type="dxa"/>
          <w:bottom w:w="105" w:type="dxa"/>
          <w:right w:w="105" w:type="dxa"/>
        </w:tblCellMar>
        <w:tblLook w:val="04A0"/>
      </w:tblPr>
      <w:tblGrid>
        <w:gridCol w:w="9600"/>
      </w:tblGrid>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As an aid to determining whether an individual is an employee under the common law rules, twenty factors or elements have been identified as indicating whether sufficient control is present to establish an employer-employee relationship. The twenty factors have been developed based on an examination of cases and rulings considering whether an individual is an employee. The degree of importance of each factor varies depending on the occupation and the factual context in which the services are performed. The twenty factors are designed only as guides for determining whether an individual is an employee; special scrutiny is required in applying the twenty factors to assure that formalistic aspects of an arrangement designed to achieve a particular status do not obscure the substance of the arrangement (that is, whether the person or persons for whom the services are performed exercise sufficient control over the individual for the individual to be classified as an employee). The twenty factors are described below:</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1.  Instructions.</w:t>
            </w:r>
            <w:r w:rsidRPr="007E1C23">
              <w:rPr>
                <w:rFonts w:ascii="Arial" w:eastAsia="Times New Roman" w:hAnsi="Arial" w:cs="Arial"/>
                <w:color w:val="333333"/>
              </w:rPr>
              <w:t xml:space="preserve"> A worker who is required to comply with other persons' instructions about when, where, and how  he or she is to work is ordinarily an employee. This control factor is present if the person or persons for whom the services are performed have the right to require compliance with instructions. See, for example, Rev. Rul. 68-598, 1968-2 C.B. 464, and Rev. Rul. 66-381, 1966-2 C.B. 449.</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 xml:space="preserve">2.  Training. </w:t>
            </w:r>
            <w:r w:rsidRPr="007E1C23">
              <w:rPr>
                <w:rFonts w:ascii="Arial" w:eastAsia="Times New Roman" w:hAnsi="Arial" w:cs="Arial"/>
                <w:color w:val="333333"/>
              </w:rPr>
              <w:t xml:space="preserve">Training a worker by requiring an experienced employee to work with the worker, by corresponding with the worker, by requiring the worker to attend meetings, or by using other methods, indicates that the person or persons for whom the services are performed want the services performed in a particular method or manner. See Rev. Rul. 70-630, 1970-2 </w:t>
            </w:r>
            <w:r w:rsidRPr="007E1C23">
              <w:rPr>
                <w:rFonts w:ascii="Arial" w:eastAsia="Times New Roman" w:hAnsi="Arial" w:cs="Arial"/>
                <w:color w:val="333333"/>
              </w:rPr>
              <w:lastRenderedPageBreak/>
              <w:t>C.B. 229.</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lastRenderedPageBreak/>
              <w:t xml:space="preserve">____    </w:t>
            </w:r>
            <w:r w:rsidRPr="007E1C23">
              <w:rPr>
                <w:rFonts w:ascii="Arial" w:eastAsia="Times New Roman" w:hAnsi="Arial" w:cs="Arial"/>
                <w:b/>
                <w:bCs/>
                <w:color w:val="333333"/>
              </w:rPr>
              <w:t xml:space="preserve">3.  Integration. </w:t>
            </w:r>
            <w:r w:rsidRPr="007E1C23">
              <w:rPr>
                <w:rFonts w:ascii="Arial" w:eastAsia="Times New Roman" w:hAnsi="Arial" w:cs="Arial"/>
                <w:color w:val="333333"/>
              </w:rPr>
              <w:t>Integration of the worker's services into the business operation generally shows that the worker is subject to direction and control. When the success or continuation of a business depends to an appreciable degree upon the performance of certain services, the workers who perform those services must necessarily be subject to a certain amount of control by the owner of the business. See United States v. Silk, 331 U.S. 704 (1947), 1947-2 C.B. 167.</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4.  Services Rendered Personally.</w:t>
            </w:r>
            <w:r w:rsidRPr="007E1C23">
              <w:rPr>
                <w:rFonts w:ascii="Arial" w:eastAsia="Times New Roman" w:hAnsi="Arial" w:cs="Arial"/>
                <w:color w:val="333333"/>
              </w:rPr>
              <w:t xml:space="preserve"> If the services must be rendered personally presumably the person or persons for whom the services are performed are interested in the methods used to accomplish the work as well as in the result. See Rev. Rul. 55-695, 1955-2 C.B.H. 410</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5.  Hiring, Supervising, and Paying Assistants.</w:t>
            </w:r>
            <w:r w:rsidRPr="007E1C23">
              <w:rPr>
                <w:rFonts w:ascii="Arial" w:eastAsia="Times New Roman" w:hAnsi="Arial" w:cs="Arial"/>
                <w:color w:val="333333"/>
              </w:rPr>
              <w:t xml:space="preserve"> If the person or persons for whom the services are performed hire, supervise, and pay assistants, that factor generally shows control over the workers on the job. However, if one worker hired supervises, and pays the other assistant pursuant to a contract under which the worker agrees to provide materials and labor and under which the worker is responsible only for the attainment of a result, this factor indicates an independent contractor status. Compare  Rev. Rul 63-115, 1963-1 C.B. 178, with Rev. Rul. 55-593, 1955-2 C.B. 610.</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6.  Continuing Relationship.</w:t>
            </w:r>
            <w:r w:rsidRPr="007E1C23">
              <w:rPr>
                <w:rFonts w:ascii="Arial" w:eastAsia="Times New Roman" w:hAnsi="Arial" w:cs="Arial"/>
                <w:color w:val="333333"/>
              </w:rPr>
              <w:t xml:space="preserve"> A continuing relationship between the worker and the person or persons for whom the services are performed indicates that an employer-employee relationship exists. A continuing relationship may exist where work is performed at frequently recurring although irregular intervals. See United States V. Silk.</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7.  Set Hours of Work.</w:t>
            </w:r>
            <w:r w:rsidRPr="007E1C23">
              <w:rPr>
                <w:rFonts w:ascii="Arial" w:eastAsia="Times New Roman" w:hAnsi="Arial" w:cs="Arial"/>
                <w:color w:val="333333"/>
              </w:rPr>
              <w:t xml:space="preserve"> The establishment of set hours of work by the person or persons for whom the services are performed is a factor indicating control. See Rev. Rul. 73-591, 1973-2 C.B. 337.</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8.  Full Time Required.</w:t>
            </w:r>
            <w:r w:rsidRPr="007E1C23">
              <w:rPr>
                <w:rFonts w:ascii="Arial" w:eastAsia="Times New Roman" w:hAnsi="Arial" w:cs="Arial"/>
                <w:color w:val="333333"/>
              </w:rPr>
              <w:t xml:space="preserve"> If the worker must devote substantially full time to the business of the person or persons for whom the services are performed, such person or persons have control over the amount of time the worker spends working and impliedly restrict the worker from doing other gainful work. An independent contractor, on the other hand, is free to work when and for whom he or she chooses. See Rev. Rul. 56-694, 1956-2 C.B. 694.</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w:t>
            </w:r>
            <w:r w:rsidRPr="007E1C23">
              <w:rPr>
                <w:rFonts w:ascii="Arial" w:eastAsia="Times New Roman" w:hAnsi="Arial" w:cs="Arial"/>
                <w:b/>
                <w:bCs/>
                <w:color w:val="333333"/>
              </w:rPr>
              <w:t>9.  Doing Work on Employer's Premises.</w:t>
            </w:r>
            <w:r w:rsidRPr="007E1C23">
              <w:rPr>
                <w:rFonts w:ascii="Arial" w:eastAsia="Times New Roman" w:hAnsi="Arial" w:cs="Arial"/>
                <w:color w:val="333333"/>
              </w:rPr>
              <w:t xml:space="preserve"> If the work is performed on the premises of </w:t>
            </w:r>
            <w:r w:rsidRPr="007E1C23">
              <w:rPr>
                <w:rFonts w:ascii="Arial" w:eastAsia="Times New Roman" w:hAnsi="Arial" w:cs="Arial"/>
                <w:color w:val="333333"/>
              </w:rPr>
              <w:lastRenderedPageBreak/>
              <w:t>the person or persons for whom the services are performed, that factor suggests control over the worker, especially if the work could be done elsewhere. Rev. Rul. 56-660, 1956-2 C.B. 693. Work done off the premises of the person or persons receiving the services, such as the office worker, indicates some freedom from control. However, this fact by itself does not mean that the worker is not an employee. The importance of this factor depends on the nature of the service involved and the extent to which an employer generally would require that employees perform such services on the employer's premises. Control over the place of work is indicated when the person or persons for whom the services are performed have the right to compel the worker to travel a designated route to canvass a territory within a certain time, or to work at specific places as required. See Rev. Rul. 56-694.</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lastRenderedPageBreak/>
              <w:t xml:space="preserve">____    </w:t>
            </w:r>
            <w:r w:rsidRPr="007E1C23">
              <w:rPr>
                <w:rFonts w:ascii="Arial" w:eastAsia="Times New Roman" w:hAnsi="Arial" w:cs="Arial"/>
                <w:b/>
                <w:bCs/>
                <w:color w:val="333333"/>
              </w:rPr>
              <w:t>10.  Order or Sequence Set.</w:t>
            </w:r>
            <w:r w:rsidRPr="007E1C23">
              <w:rPr>
                <w:rFonts w:ascii="Arial" w:eastAsia="Times New Roman" w:hAnsi="Arial" w:cs="Arial"/>
                <w:color w:val="333333"/>
              </w:rPr>
              <w:t xml:space="preserve"> If a worker must perform  services in the order or sequence set by the person or persons for whom the services are performed, that factor shows that the worker is not free to follow the worker's own pattern of work but must follow the established routines and schedules of the person or persons for whom the services are performed. Often, because of the nature of an occupation, the person or persons for whom the services are being performed do not set the order of the services or set the order infrequently. It is sufficient to show control, however, if such person or persons retain the right to do so. See Rev. Rul 56-694.</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____    11.  Oral or Written Reports. A requirement that the worker submit regular or written reports to the person or persons for whom the services are performed indicates a degree of control. See Rev. Rul 70-309, 1970-1 C.B. 199, and Rev. Rul. 68-248, 1968-1 C.B. 431.</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____    12.  Payment by Hour, Week, Month. Payment by the hour, week, or month generally points to an employer-employee relationship, provided that this method of payment is not just a convenient way of paying a lump sum agreed upon as the cost of a job. Payment made by the job or on a straight commission generally indicates that the worker is an independent contractor. See Rev. Rul. 74-389, 1974-2 C.B. 330.</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____    13.  Payment of Business and/or Traveling Expenses. If the person or persons for whom the services are performed ordinarily pay the worker's business and/or traveling expenses, the worker is ordinarily an employee. An employer, to be able to control expenses, generally retains the right to regulate and direct the worker's business activities. See Rev. Rul. 55-144, 1955-1 C.B. 483.</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14.  Furnishing of Tools and Materials. The fact that the person or persons for whom the </w:t>
            </w:r>
            <w:r w:rsidRPr="007E1C23">
              <w:rPr>
                <w:rFonts w:ascii="Arial" w:eastAsia="Times New Roman" w:hAnsi="Arial" w:cs="Arial"/>
                <w:color w:val="333333"/>
              </w:rPr>
              <w:lastRenderedPageBreak/>
              <w:t>services are performed furnish significant tools, materials, and other equipment tends to show the existence of an employer-employee relationship. See Rev. Rul 71-524, 1971-2 C.B. 346.</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lastRenderedPageBreak/>
              <w:t>____    15.  Significant Investment. If the worker invests in facilities that are used by the worker in performing services and are not typically maintained by employees (such as the maintenance of an office rented at fair value from an unrelated party), that factor tends to indicate that the worker is an independent contractor. On the other hand, lack of investment in facilities indicates dependence on the person or persons for whom the services are performed for such facilities and, accordingly, the existence of an employer-employee relationship. See Rev. Rul. 71-524. Special scrutiny is required with respect to certain types of facilities, such as home offices.</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____    16.  Realization of Profit or Loss. A worker who can realize a profit or suffer a loss as a result of the worker's services (in addition to the profit or loss ordinarily realized by employees) is generally an independent contractor, but the worker who cannot is an employee. See Rev. Rul 70-309. For example, if the worker is subject to a real risk of economic loss due to significant investments or a bona fide liability for expenses, such as salary payments to unrelated employees, that factor indicates that the worker is an independent contractor. The risk that a worker will not receive payment for his or her services, however, is common to both independent contractors and employees and thus does not constitute a sufficient economic risk to support treatment as an independent contractor.</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____    17.  Working for More Than One Firm at a Time. If a worker performs more than de minimis services for a multiple of unrelated persons or firms at the same time, that factor generally indicates that the worker is an independent contractor. See Rev. Rul 70-572, 1970-2 C.B. 221. However, a worker who performs services for more than one person may be an employee of each of the persons, especially where such persons are part of the same service arrangement.</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____    18.  Making Service Available to General Public. The fact that a worker makes his or her services available to the general public on a regular and consistent basis indicates an independent contractor relationship. See Rev. Rul 56-660.</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t xml:space="preserve">____    19.  Right to Discharge. The right to discharge a worker is a factor indicating that the worker is an employee and the person possessing the right is an employer. An employer exercises control through the threat of dismissal, which causes the worker to obey the employer's instructions. An independent contractor, on the other hand, cannot be fired so long as the independent contractor produces a result that meets the contract specifications. Rev. Rul </w:t>
            </w:r>
            <w:r w:rsidRPr="007E1C23">
              <w:rPr>
                <w:rFonts w:ascii="Arial" w:eastAsia="Times New Roman" w:hAnsi="Arial" w:cs="Arial"/>
                <w:color w:val="333333"/>
              </w:rPr>
              <w:lastRenderedPageBreak/>
              <w:t>75-41, 1975-1 C.B. 323.</w:t>
            </w:r>
          </w:p>
        </w:tc>
      </w:tr>
      <w:tr w:rsidR="007E1C23" w:rsidRPr="007E1C23" w:rsidTr="007E1C23">
        <w:tc>
          <w:tcPr>
            <w:tcW w:w="0" w:type="auto"/>
            <w:tcMar>
              <w:top w:w="120" w:type="dxa"/>
              <w:left w:w="120" w:type="dxa"/>
              <w:bottom w:w="120" w:type="dxa"/>
              <w:right w:w="120" w:type="dxa"/>
            </w:tcMar>
            <w:vAlign w:val="center"/>
            <w:hideMark/>
          </w:tcPr>
          <w:p w:rsidR="007E1C23" w:rsidRPr="007E1C23" w:rsidRDefault="007E1C23" w:rsidP="007E1C23">
            <w:pPr>
              <w:spacing w:after="0" w:line="360" w:lineRule="atLeast"/>
              <w:jc w:val="center"/>
              <w:rPr>
                <w:rFonts w:ascii="Arial" w:eastAsia="Times New Roman" w:hAnsi="Arial" w:cs="Arial"/>
                <w:color w:val="333333"/>
              </w:rPr>
            </w:pPr>
            <w:r w:rsidRPr="007E1C23">
              <w:rPr>
                <w:rFonts w:ascii="Arial" w:eastAsia="Times New Roman" w:hAnsi="Arial" w:cs="Arial"/>
                <w:color w:val="333333"/>
              </w:rPr>
              <w:lastRenderedPageBreak/>
              <w:t>____    20.  Right to Terminate. If the worker has the right to end his or her relationship with the person for whom the services are performed at any time he or she wishes without incurring liability, that factor indicates an employer-employee relationship. See Rev. Rul. 70-309.</w:t>
            </w:r>
          </w:p>
        </w:tc>
      </w:tr>
    </w:tbl>
    <w:p w:rsidR="00316EA9" w:rsidRDefault="00316EA9"/>
    <w:sectPr w:rsidR="00316EA9" w:rsidSect="00316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C23"/>
    <w:rsid w:val="00025496"/>
    <w:rsid w:val="00186754"/>
    <w:rsid w:val="00316EA9"/>
    <w:rsid w:val="003357A0"/>
    <w:rsid w:val="004530E3"/>
    <w:rsid w:val="006104DA"/>
    <w:rsid w:val="007E1C23"/>
    <w:rsid w:val="008060AA"/>
    <w:rsid w:val="008678B7"/>
    <w:rsid w:val="009207A5"/>
    <w:rsid w:val="00B76B5A"/>
    <w:rsid w:val="00ED00F6"/>
    <w:rsid w:val="00F40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A9"/>
  </w:style>
  <w:style w:type="paragraph" w:styleId="Heading1">
    <w:name w:val="heading 1"/>
    <w:basedOn w:val="Normal"/>
    <w:link w:val="Heading1Char"/>
    <w:uiPriority w:val="9"/>
    <w:qFormat/>
    <w:rsid w:val="007E1C23"/>
    <w:pPr>
      <w:spacing w:before="240" w:after="240"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23"/>
    <w:rPr>
      <w:rFonts w:ascii="Times New Roman" w:eastAsia="Times New Roman" w:hAnsi="Times New Roman" w:cs="Times New Roman"/>
      <w:b/>
      <w:bCs/>
      <w:kern w:val="36"/>
      <w:sz w:val="33"/>
      <w:szCs w:val="33"/>
    </w:rPr>
  </w:style>
  <w:style w:type="paragraph" w:styleId="NoSpacing">
    <w:name w:val="No Spacing"/>
    <w:uiPriority w:val="1"/>
    <w:qFormat/>
    <w:rsid w:val="000254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1015308">
      <w:bodyDiv w:val="1"/>
      <w:marLeft w:val="0"/>
      <w:marRight w:val="0"/>
      <w:marTop w:val="0"/>
      <w:marBottom w:val="0"/>
      <w:divBdr>
        <w:top w:val="none" w:sz="0" w:space="0" w:color="auto"/>
        <w:left w:val="none" w:sz="0" w:space="0" w:color="auto"/>
        <w:bottom w:val="none" w:sz="0" w:space="0" w:color="auto"/>
        <w:right w:val="none" w:sz="0" w:space="0" w:color="auto"/>
      </w:divBdr>
      <w:divsChild>
        <w:div w:id="142433813">
          <w:marLeft w:val="0"/>
          <w:marRight w:val="0"/>
          <w:marTop w:val="0"/>
          <w:marBottom w:val="0"/>
          <w:divBdr>
            <w:top w:val="none" w:sz="0" w:space="0" w:color="auto"/>
            <w:left w:val="none" w:sz="0" w:space="0" w:color="auto"/>
            <w:bottom w:val="none" w:sz="0" w:space="0" w:color="auto"/>
            <w:right w:val="none" w:sz="0" w:space="0" w:color="auto"/>
          </w:divBdr>
          <w:divsChild>
            <w:div w:id="2112969858">
              <w:marLeft w:val="0"/>
              <w:marRight w:val="0"/>
              <w:marTop w:val="0"/>
              <w:marBottom w:val="0"/>
              <w:divBdr>
                <w:top w:val="none" w:sz="0" w:space="0" w:color="auto"/>
                <w:left w:val="none" w:sz="0" w:space="0" w:color="auto"/>
                <w:bottom w:val="none" w:sz="0" w:space="0" w:color="auto"/>
                <w:right w:val="none" w:sz="0" w:space="0" w:color="auto"/>
              </w:divBdr>
              <w:divsChild>
                <w:div w:id="462040908">
                  <w:marLeft w:val="0"/>
                  <w:marRight w:val="0"/>
                  <w:marTop w:val="100"/>
                  <w:marBottom w:val="100"/>
                  <w:divBdr>
                    <w:top w:val="none" w:sz="0" w:space="0" w:color="auto"/>
                    <w:left w:val="none" w:sz="0" w:space="0" w:color="auto"/>
                    <w:bottom w:val="none" w:sz="0" w:space="0" w:color="auto"/>
                    <w:right w:val="none" w:sz="0" w:space="0" w:color="auto"/>
                  </w:divBdr>
                  <w:divsChild>
                    <w:div w:id="1248877905">
                      <w:marLeft w:val="0"/>
                      <w:marRight w:val="0"/>
                      <w:marTop w:val="100"/>
                      <w:marBottom w:val="100"/>
                      <w:divBdr>
                        <w:top w:val="none" w:sz="0" w:space="0" w:color="auto"/>
                        <w:left w:val="none" w:sz="0" w:space="0" w:color="auto"/>
                        <w:bottom w:val="none" w:sz="0" w:space="0" w:color="auto"/>
                        <w:right w:val="none" w:sz="0" w:space="0" w:color="auto"/>
                      </w:divBdr>
                      <w:divsChild>
                        <w:div w:id="1918202616">
                          <w:marLeft w:val="0"/>
                          <w:marRight w:val="0"/>
                          <w:marTop w:val="0"/>
                          <w:marBottom w:val="0"/>
                          <w:divBdr>
                            <w:top w:val="none" w:sz="0" w:space="0" w:color="auto"/>
                            <w:left w:val="none" w:sz="0" w:space="0" w:color="auto"/>
                            <w:bottom w:val="none" w:sz="0" w:space="0" w:color="auto"/>
                            <w:right w:val="none" w:sz="0" w:space="0" w:color="auto"/>
                          </w:divBdr>
                          <w:divsChild>
                            <w:div w:id="1903713216">
                              <w:marLeft w:val="0"/>
                              <w:marRight w:val="0"/>
                              <w:marTop w:val="100"/>
                              <w:marBottom w:val="100"/>
                              <w:divBdr>
                                <w:top w:val="none" w:sz="0" w:space="0" w:color="auto"/>
                                <w:left w:val="none" w:sz="0" w:space="0" w:color="auto"/>
                                <w:bottom w:val="none" w:sz="0" w:space="0" w:color="auto"/>
                                <w:right w:val="none" w:sz="0" w:space="0" w:color="auto"/>
                              </w:divBdr>
                              <w:divsChild>
                                <w:div w:id="559173043">
                                  <w:marLeft w:val="700"/>
                                  <w:marRight w:val="500"/>
                                  <w:marTop w:val="0"/>
                                  <w:marBottom w:val="0"/>
                                  <w:divBdr>
                                    <w:top w:val="none" w:sz="0" w:space="0" w:color="auto"/>
                                    <w:left w:val="none" w:sz="0" w:space="0" w:color="auto"/>
                                    <w:bottom w:val="none" w:sz="0" w:space="0" w:color="auto"/>
                                    <w:right w:val="none" w:sz="0" w:space="0" w:color="auto"/>
                                  </w:divBdr>
                                  <w:divsChild>
                                    <w:div w:id="1598517367">
                                      <w:marLeft w:val="0"/>
                                      <w:marRight w:val="0"/>
                                      <w:marTop w:val="0"/>
                                      <w:marBottom w:val="0"/>
                                      <w:divBdr>
                                        <w:top w:val="none" w:sz="0" w:space="0" w:color="auto"/>
                                        <w:left w:val="none" w:sz="0" w:space="0" w:color="auto"/>
                                        <w:bottom w:val="none" w:sz="0" w:space="0" w:color="auto"/>
                                        <w:right w:val="none" w:sz="0" w:space="0" w:color="auto"/>
                                      </w:divBdr>
                                      <w:divsChild>
                                        <w:div w:id="5209696">
                                          <w:marLeft w:val="0"/>
                                          <w:marRight w:val="0"/>
                                          <w:marTop w:val="0"/>
                                          <w:marBottom w:val="0"/>
                                          <w:divBdr>
                                            <w:top w:val="none" w:sz="0" w:space="0" w:color="auto"/>
                                            <w:left w:val="none" w:sz="0" w:space="0" w:color="auto"/>
                                            <w:bottom w:val="none" w:sz="0" w:space="0" w:color="auto"/>
                                            <w:right w:val="none" w:sz="0" w:space="0" w:color="auto"/>
                                          </w:divBdr>
                                          <w:divsChild>
                                            <w:div w:id="12674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426843">
      <w:bodyDiv w:val="1"/>
      <w:marLeft w:val="0"/>
      <w:marRight w:val="0"/>
      <w:marTop w:val="0"/>
      <w:marBottom w:val="0"/>
      <w:divBdr>
        <w:top w:val="none" w:sz="0" w:space="0" w:color="auto"/>
        <w:left w:val="none" w:sz="0" w:space="0" w:color="auto"/>
        <w:bottom w:val="none" w:sz="0" w:space="0" w:color="auto"/>
        <w:right w:val="none" w:sz="0" w:space="0" w:color="auto"/>
      </w:divBdr>
      <w:divsChild>
        <w:div w:id="373309360">
          <w:marLeft w:val="0"/>
          <w:marRight w:val="0"/>
          <w:marTop w:val="0"/>
          <w:marBottom w:val="0"/>
          <w:divBdr>
            <w:top w:val="none" w:sz="0" w:space="0" w:color="auto"/>
            <w:left w:val="none" w:sz="0" w:space="0" w:color="auto"/>
            <w:bottom w:val="none" w:sz="0" w:space="0" w:color="auto"/>
            <w:right w:val="none" w:sz="0" w:space="0" w:color="auto"/>
          </w:divBdr>
          <w:divsChild>
            <w:div w:id="445664472">
              <w:marLeft w:val="0"/>
              <w:marRight w:val="0"/>
              <w:marTop w:val="0"/>
              <w:marBottom w:val="0"/>
              <w:divBdr>
                <w:top w:val="none" w:sz="0" w:space="0" w:color="auto"/>
                <w:left w:val="none" w:sz="0" w:space="0" w:color="auto"/>
                <w:bottom w:val="none" w:sz="0" w:space="0" w:color="auto"/>
                <w:right w:val="none" w:sz="0" w:space="0" w:color="auto"/>
              </w:divBdr>
              <w:divsChild>
                <w:div w:id="1749690018">
                  <w:marLeft w:val="0"/>
                  <w:marRight w:val="0"/>
                  <w:marTop w:val="100"/>
                  <w:marBottom w:val="100"/>
                  <w:divBdr>
                    <w:top w:val="none" w:sz="0" w:space="0" w:color="auto"/>
                    <w:left w:val="none" w:sz="0" w:space="0" w:color="auto"/>
                    <w:bottom w:val="none" w:sz="0" w:space="0" w:color="auto"/>
                    <w:right w:val="none" w:sz="0" w:space="0" w:color="auto"/>
                  </w:divBdr>
                  <w:divsChild>
                    <w:div w:id="940914131">
                      <w:marLeft w:val="0"/>
                      <w:marRight w:val="0"/>
                      <w:marTop w:val="100"/>
                      <w:marBottom w:val="100"/>
                      <w:divBdr>
                        <w:top w:val="none" w:sz="0" w:space="0" w:color="auto"/>
                        <w:left w:val="none" w:sz="0" w:space="0" w:color="auto"/>
                        <w:bottom w:val="none" w:sz="0" w:space="0" w:color="auto"/>
                        <w:right w:val="none" w:sz="0" w:space="0" w:color="auto"/>
                      </w:divBdr>
                      <w:divsChild>
                        <w:div w:id="985864238">
                          <w:marLeft w:val="0"/>
                          <w:marRight w:val="0"/>
                          <w:marTop w:val="0"/>
                          <w:marBottom w:val="0"/>
                          <w:divBdr>
                            <w:top w:val="none" w:sz="0" w:space="0" w:color="auto"/>
                            <w:left w:val="none" w:sz="0" w:space="0" w:color="auto"/>
                            <w:bottom w:val="none" w:sz="0" w:space="0" w:color="auto"/>
                            <w:right w:val="none" w:sz="0" w:space="0" w:color="auto"/>
                          </w:divBdr>
                          <w:divsChild>
                            <w:div w:id="784278438">
                              <w:marLeft w:val="0"/>
                              <w:marRight w:val="0"/>
                              <w:marTop w:val="100"/>
                              <w:marBottom w:val="100"/>
                              <w:divBdr>
                                <w:top w:val="none" w:sz="0" w:space="0" w:color="auto"/>
                                <w:left w:val="none" w:sz="0" w:space="0" w:color="auto"/>
                                <w:bottom w:val="none" w:sz="0" w:space="0" w:color="auto"/>
                                <w:right w:val="none" w:sz="0" w:space="0" w:color="auto"/>
                              </w:divBdr>
                              <w:divsChild>
                                <w:div w:id="1819305205">
                                  <w:marLeft w:val="700"/>
                                  <w:marRight w:val="500"/>
                                  <w:marTop w:val="0"/>
                                  <w:marBottom w:val="0"/>
                                  <w:divBdr>
                                    <w:top w:val="none" w:sz="0" w:space="0" w:color="auto"/>
                                    <w:left w:val="none" w:sz="0" w:space="0" w:color="auto"/>
                                    <w:bottom w:val="none" w:sz="0" w:space="0" w:color="auto"/>
                                    <w:right w:val="none" w:sz="0" w:space="0" w:color="auto"/>
                                  </w:divBdr>
                                  <w:divsChild>
                                    <w:div w:id="613682550">
                                      <w:marLeft w:val="0"/>
                                      <w:marRight w:val="0"/>
                                      <w:marTop w:val="0"/>
                                      <w:marBottom w:val="0"/>
                                      <w:divBdr>
                                        <w:top w:val="none" w:sz="0" w:space="0" w:color="auto"/>
                                        <w:left w:val="none" w:sz="0" w:space="0" w:color="auto"/>
                                        <w:bottom w:val="none" w:sz="0" w:space="0" w:color="auto"/>
                                        <w:right w:val="none" w:sz="0" w:space="0" w:color="auto"/>
                                      </w:divBdr>
                                      <w:divsChild>
                                        <w:div w:id="72169747">
                                          <w:marLeft w:val="0"/>
                                          <w:marRight w:val="0"/>
                                          <w:marTop w:val="0"/>
                                          <w:marBottom w:val="0"/>
                                          <w:divBdr>
                                            <w:top w:val="none" w:sz="0" w:space="0" w:color="auto"/>
                                            <w:left w:val="none" w:sz="0" w:space="0" w:color="auto"/>
                                            <w:bottom w:val="none" w:sz="0" w:space="0" w:color="auto"/>
                                            <w:right w:val="none" w:sz="0" w:space="0" w:color="auto"/>
                                          </w:divBdr>
                                          <w:divsChild>
                                            <w:div w:id="978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Roehm</dc:creator>
  <cp:lastModifiedBy>Larry</cp:lastModifiedBy>
  <cp:revision>2</cp:revision>
  <cp:lastPrinted>2012-09-27T21:46:00Z</cp:lastPrinted>
  <dcterms:created xsi:type="dcterms:W3CDTF">2017-01-26T17:25:00Z</dcterms:created>
  <dcterms:modified xsi:type="dcterms:W3CDTF">2017-01-26T17:25:00Z</dcterms:modified>
</cp:coreProperties>
</file>